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Strzelecki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strzelecki.arek@gmail.com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+48509708552 ,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Strzelecki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Strzelecki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Franek Gruchot</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12.06.2017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