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Meredith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+6588228224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meredithtansg@icloud.com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