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Надя Смилянова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22.12.2025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