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Greta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Saykova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2.4.1993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+359879895998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gretichkaa@abv.bg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Ivanina Saykova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Saykov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23.6.2022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