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Henry Pedrazzoli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