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Krępski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konradpw@wp.pl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+48663394311 ,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 Krępski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Kamil Turek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08.05.2014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Michalina Piwońska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Ignacy Bors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19.09.2014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