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Baryła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ewelina.baryla@interia.eu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+48663491185 ,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Baryła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Baryła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02.01.2014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