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Markwant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b.markwant@interia.pl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+48695550097 ,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Livia Markwant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Elena Markwant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22.06.2022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