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Mazur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dm123@tlen.pl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+48508546564 ,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Mazur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Lila Krzykacz</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20.11.2015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Szubert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23.03.2014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Dawid Błaszczyk</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09.02.2015</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 Bącela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04.03.2016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Helena Tuzikiewicz</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29.06.2015</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