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Denitsa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Gerginikova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denitza.gerginikova@gmail.com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+359885857800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10.4.1983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Yavor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16.7.2015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Syana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14.11.2017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