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2056DB" w:rsidP="005E033D" w:rsidRDefault="002056DB" w14:paraId="556E969C" w14:textId="77777777">
      <w:pPr>
        <w:rPr>
          <w:sz w:val="24"/>
          <w:szCs w:val="24"/>
        </w:rPr>
      </w:pPr>
    </w:p>
    <w:p w:rsidRPr="00750A76" w:rsidR="002255A2" w:rsidP="002255A2" w:rsidRDefault="002255A2" w14:paraId="325C62E9" w14:textId="77777777">
      <w:pPr>
        <w:spacing w:line="480" w:lineRule="auto"/>
        <w:jc w:val="both"/>
        <w:rPr>
          <w:u w:val="single"/>
        </w:rPr>
      </w:pPr>
      <w:r w:rsidRPr="009E5F62">
        <w:rPr>
          <w:u w:val="single"/>
        </w:rPr>
        <w:t>Alexis Esteban</w:t>
      </w:r>
      <w:r>
        <w:rPr>
          <w:u w:val="single"/>
        </w:rPr>
        <w:t xml:space="preserve"> </w:t>
      </w:r>
      <w:r w:rsidRPr="009E5F62">
        <w:rPr>
          <w:u w:val="single"/>
        </w:rPr>
        <w:t>Fernández Faivre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roofErr w:type="gramStart"/>
      <w:r>
        <w:rPr>
          <w:u w:val="single"/>
        </w:rPr>
        <w:t xml:space="preserve">  </w:t>
      </w:r>
      <w:r w:rsidRPr="00423706">
        <w:rPr>
          <w:color w:val="FFFFFF"/>
          <w:u w:val="single"/>
        </w:rPr>
        <w:t>.</w:t>
      </w:r>
      <w:proofErr w:type="gramEnd"/>
      <w:r w:rsidRPr="00423706">
        <w:rPr>
          <w:color w:val="FFFFFF"/>
          <w:u w:val="single"/>
        </w:rPr>
        <w:t xml:space="preserve"> </w:t>
      </w:r>
      <w:r w:rsidRPr="009E5F62">
        <w:rPr>
          <w:u w:val="single"/>
        </w:rPr>
        <w:t xml:space="preserve">                                                                            </w:t>
      </w:r>
      <w:r>
        <w:t xml:space="preserve">Con Documento Nacional de Identidad </w:t>
      </w:r>
      <w:proofErr w:type="spellStart"/>
      <w:r>
        <w:t>numero</w:t>
      </w:r>
      <w:proofErr w:type="spellEnd"/>
      <w:r>
        <w:t xml:space="preserve"> </w:t>
      </w:r>
      <w:r w:rsidRPr="009E5F62">
        <w:rPr>
          <w:u w:val="single"/>
        </w:rPr>
        <w:t>53011350f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2255A2" w:rsidP="002255A2" w:rsidRDefault="002255A2" w14:paraId="1D4B5545" w14:textId="77777777">
      <w:pPr>
        <w:spacing w:line="480" w:lineRule="auto"/>
        <w:jc w:val="both"/>
      </w:pPr>
      <w:r>
        <w:t>y como Padre / Madre o Tutor de:</w:t>
      </w:r>
    </w:p>
    <w:p w:rsidRPr="009E3A46" w:rsidR="002255A2" w:rsidP="002255A2" w:rsidRDefault="002255A2" w14:paraId="6E12FCA0" w14:textId="77777777">
      <w:pPr>
        <w:spacing w:line="360" w:lineRule="auto"/>
        <w:jc w:val="both"/>
      </w:pPr>
    </w:p>
    <w:p w:rsidRPr="009460F1" w:rsidR="002255A2" w:rsidP="002255A2" w:rsidRDefault="002255A2" w14:paraId="697267AE"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Miguel Fernández Hernández</w:t>
      </w:r>
      <w:r>
        <w:rPr>
          <w:rFonts w:ascii="Calibri" w:hAnsi="Calibri"/>
          <w:lang w:val="en-US"/>
        </w:rPr>
        <w:t xml:space="preserve">                           </w:t>
      </w:r>
      <w:r>
        <w:t xml:space="preserve">               fecha de nacimiento:</w:t>
      </w:r>
      <w:r>
        <w:rPr>
          <w:lang w:val="bg-BG"/>
        </w:rPr>
        <w:t xml:space="preserve"> </w:t>
      </w:r>
      <w:r>
        <w:rPr>
          <w:lang w:val="en-US"/>
        </w:rPr>
        <w:t>31/03/2012</w:t>
      </w:r>
    </w:p>
    <w:p w:rsidRPr="00E87911" w:rsidR="002255A2" w:rsidP="002255A2" w:rsidRDefault="002255A2" w14:paraId="65006B3B" w14:textId="77777777">
      <w:pPr>
        <w:spacing w:before="1" w:after="120" w:line="200" w:lineRule="exact"/>
        <w:rPr>
          <w:rFonts w:ascii="Calibri" w:hAnsi="Calibri"/>
        </w:rPr>
      </w:pPr>
    </w:p>
    <w:p w:rsidRPr="00E87911" w:rsidR="002255A2" w:rsidP="002255A2" w:rsidRDefault="002255A2" w14:paraId="5C1E9B49" w14:textId="77777777">
      <w:pPr>
        <w:spacing w:after="120" w:line="264" w:lineRule="auto"/>
        <w:ind w:left="460"/>
        <w:rPr>
          <w:rFonts w:ascii="Calibri" w:hAnsi="Calibri"/>
        </w:rPr>
      </w:pPr>
      <w:r w:rsidRPr="00E87911">
        <w:rPr>
          <w:rFonts w:ascii="Calibri" w:hAnsi="Calibri"/>
        </w:rPr>
        <w:t>2.   Hugo Fernández Hernandez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06/04/2018</w:t>
      </w:r>
    </w:p>
    <w:p w:rsidRPr="00E87911" w:rsidR="002255A2" w:rsidP="002255A2" w:rsidRDefault="002255A2" w14:paraId="1D382C18" w14:textId="77777777">
      <w:pPr>
        <w:spacing w:before="1" w:after="120" w:line="200" w:lineRule="exact"/>
        <w:rPr>
          <w:rFonts w:ascii="Calibri" w:hAnsi="Calibri"/>
        </w:rPr>
      </w:pPr>
    </w:p>
    <w:p w:rsidRPr="00E87911" w:rsidR="002255A2" w:rsidP="002255A2" w:rsidRDefault="002255A2" w14:paraId="0F004FC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A00CAC7" w14:textId="77777777">
      <w:pPr>
        <w:spacing w:before="8" w:after="120" w:line="180" w:lineRule="exact"/>
        <w:rPr>
          <w:rFonts w:ascii="Calibri" w:hAnsi="Calibri"/>
          <w:sz w:val="19"/>
          <w:szCs w:val="19"/>
        </w:rPr>
      </w:pPr>
    </w:p>
    <w:p w:rsidRPr="00E87911" w:rsidR="002255A2" w:rsidP="002255A2" w:rsidRDefault="002255A2" w14:paraId="2B6FED17"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7FE7590D" w14:textId="77777777">
      <w:pPr>
        <w:spacing w:before="1" w:after="120" w:line="200" w:lineRule="exact"/>
        <w:rPr>
          <w:rFonts w:ascii="Calibri" w:hAnsi="Calibri"/>
        </w:rPr>
      </w:pPr>
    </w:p>
    <w:p w:rsidRPr="00E87911" w:rsidR="002255A2" w:rsidP="002255A2" w:rsidRDefault="002255A2" w14:paraId="695055C9"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49F7E8D8" w14:textId="77777777">
      <w:pPr>
        <w:spacing w:after="120" w:line="264" w:lineRule="auto"/>
        <w:ind w:left="460"/>
        <w:rPr>
          <w:rFonts w:ascii="Calibri" w:hAnsi="Calibri"/>
        </w:rPr>
      </w:pPr>
    </w:p>
    <w:p w:rsidRPr="00E87911" w:rsidR="002255A2" w:rsidP="002255A2" w:rsidRDefault="002255A2" w14:paraId="46AC84BA"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636CC0BD" w14:textId="77777777">
      <w:pPr>
        <w:spacing w:after="120" w:line="264" w:lineRule="auto"/>
        <w:ind w:left="460"/>
        <w:rPr>
          <w:rFonts w:ascii="Calibri" w:hAnsi="Calibri"/>
        </w:rPr>
      </w:pPr>
    </w:p>
    <w:p w:rsidRPr="00082EFE" w:rsidR="002255A2" w:rsidP="002255A2" w:rsidRDefault="002255A2" w14:paraId="5E2B057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2255A2" w:rsidP="002255A2" w:rsidRDefault="002255A2" w14:paraId="337CF11B"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61312" behindDoc="1" locked="0" layoutInCell="1" allowOverlap="1" wp14:editId="35BF0913" wp14:anchorId="6D8C2D9E">
            <wp:simplePos x="0" y="0"/>
            <wp:positionH relativeFrom="column">
              <wp:posOffset>443865</wp:posOffset>
            </wp:positionH>
            <wp:positionV relativeFrom="paragraph">
              <wp:posOffset>426720</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07/12/2025</w:t>
      </w:r>
    </w:p>
    <w:p w:rsidRPr="003308D7" w:rsidR="002255A2" w:rsidP="002255A2" w:rsidRDefault="002255A2" w14:paraId="5B3A7AF7" w14:textId="7777777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2056DB" w:rsidR="00647F0E" w:rsidP="0098797A" w:rsidRDefault="00647F0E" w14:paraId="2EC5BC6E" w14:textId="77777777">
      <w:pPr>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1947" w14:textId="77777777" w:rsidR="00F11F15" w:rsidRDefault="00F11F15" w:rsidP="00360BC3">
      <w:pPr>
        <w:spacing w:after="0" w:line="240" w:lineRule="auto"/>
      </w:pPr>
      <w:r>
        <w:separator/>
      </w:r>
    </w:p>
  </w:endnote>
  <w:endnote w:type="continuationSeparator" w:id="0">
    <w:p w14:paraId="6CC4523A" w14:textId="77777777" w:rsidR="00F11F15" w:rsidRDefault="00F11F15"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A1E26" w14:textId="77777777" w:rsidR="00F11F15" w:rsidRDefault="00F11F15" w:rsidP="00360BC3">
      <w:pPr>
        <w:spacing w:after="0" w:line="240" w:lineRule="auto"/>
      </w:pPr>
      <w:r>
        <w:separator/>
      </w:r>
    </w:p>
  </w:footnote>
  <w:footnote w:type="continuationSeparator" w:id="0">
    <w:p w14:paraId="61769777" w14:textId="77777777" w:rsidR="00F11F15" w:rsidRDefault="00F11F15"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255A2"/>
    <w:rsid w:val="002D1759"/>
    <w:rsid w:val="00360BC3"/>
    <w:rsid w:val="005E033D"/>
    <w:rsid w:val="00647F0E"/>
    <w:rsid w:val="0066266C"/>
    <w:rsid w:val="006E76F5"/>
    <w:rsid w:val="00737D24"/>
    <w:rsid w:val="0098797A"/>
    <w:rsid w:val="00AA1792"/>
    <w:rsid w:val="00BB0A71"/>
    <w:rsid w:val="00CA4B7E"/>
    <w:rsid w:val="00CD1631"/>
    <w:rsid w:val="00E87118"/>
    <w:rsid w:val="00F11F15"/>
    <w:rsid w:val="00F648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23087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2021-04-09T06:34:00Z</dcterms:created>
  <dcterms:modified xsi:type="dcterms:W3CDTF">2021-04-09T06:34:00Z</dcterms:modified>
</cp:coreProperties>
</file>