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Maria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Palomino Bañon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39427399V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12/8/1994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C/Giones 10 Palafrugell, Espanya 17200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+34671605380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maria.palomi12@gmail.com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29/3/2026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29/3/2026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Maria Palomino Bañon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