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rafal.krajewskibaluty@gmail.com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+48603713079 ,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Wanda Krajewska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Krajewska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Hanna Krajewska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06.11.2009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