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Piechut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kamila.piechut@gmail.com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+48692866340 ,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Piechut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Ignacy  księżopolski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18.10.2015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Tymek osłowski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Wojtek filipczak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20.08.2015</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Franek cichulski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16.11.2015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Stas białobłocki</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15.07.2015</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