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María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Díaz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22/11/2002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+34677016462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mdiazjorda@gmail.com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