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Jesionowski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maciej.jesionowski@dentons.com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+48505692568 ,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Mikolaj Jesionowski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Franciszek Jesionowski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02.03.2018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