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Antczak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mantczak@poczta.onet.pl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+48693074777 ,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Antczak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27.03.2013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Aleksander Jabłoński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04.07.2014</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Piotr Antczak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02.10.2019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Paweł Antczak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02.10.2019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