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David</w:t>
      </w:r>
      <w:r>
        <w:rPr>
          <w:u w:val="single"/>
        </w:rPr>
        <w:t xml:space="preserve"> </w:t>
      </w:r>
      <w:r w:rsidRPr="009E5F62">
        <w:rPr>
          <w:u w:val="single"/>
        </w:rPr>
        <w:t>Aguilera Auguets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Astrid</w:t>
      </w:r>
      <w:r>
        <w:rPr>
          <w:rFonts w:ascii="Calibri" w:hAnsi="Calibri"/>
          <w:lang w:val="en-US"/>
        </w:rPr>
        <w:t xml:space="preserve">                           </w:t>
      </w:r>
      <w:r>
        <w:t xml:space="preserve">               fecha de nacimiento:</w:t>
      </w:r>
      <w:r>
        <w:rPr>
          <w:lang w:val="bg-BG"/>
        </w:rPr>
        <w:t xml:space="preserve"> </w:t>
      </w:r>
      <w:r>
        <w:rPr>
          <w:lang w:val="en-US"/>
        </w:rPr>
        <w:t>23/4/2021</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Aguilera Auguets</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