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+359888117667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ivelina.tsvetkova_@abv.bg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Кристина Стойкова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Светлозар Стойков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15.8.2020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