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Vytis Vainilaitis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