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kosmol@o2.pl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+48660947137 ,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statkiewicz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Bruno bogus</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29.03.2022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statkiewicz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 bogus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10.07.2019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