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Szafrański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dawidbiwab@interia.pl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+48695036217 ,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Szafrański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20.12.2019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Celina Szafrańska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20.03.2018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Grzegorz Szafranski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18.02.2022</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