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Ratajczak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h_ratajczak@onet.eu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+48603239368 ,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Ratajczak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Anna Ratajczak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Jakub Ratajczak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16.10.2021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