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Akhona</w:t>
      </w:r>
      <w:r w:rsidR="00405CC1">
        <w:t xml:space="preserve"> </w:t>
      </w:r>
      <w:r w:rsidRPr="00405CC1" w:rsidR="00405CC1">
        <w:t>Qhanqisa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8901300535086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Melokuhle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Kuhlekonke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