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Дариа  Русинова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+3590877267966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catsingerue@gmail.com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