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Viktor Skarban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06.04.1977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Kamebice  35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+420736522577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10.03.2026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10.03.2026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10.03.2026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