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Аделина Вучкова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Елеонора Вълчева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23.5.2017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