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Schilizzi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Grigore Ionescu 81,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06.09.2000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schilizzi.stefania@yahoo.com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+40769701555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Grigore Ionescu 81,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