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Ася Ковачева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asia_atanasova1989@abv.bg , Телефон : +359897993968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Божидара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25.1.2023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7.3.2026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7.3.2026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