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kalinowskabarbara@wp.pl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+48790208120 ,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woja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wojda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30.08.2016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Lila Surowiec</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18.02.2017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