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Liwiński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marcin.liwinski@gmail.com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+48502354841 ,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Konrad Liwiński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26.04.2013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Liliana Liwinska</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06.05.2021</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Karina Liwińska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30.04.2015</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Julian Liwiński</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21.04.2017</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