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димитър стоянов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+3599232407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9.3.2019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