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Emiliq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Mileva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ema.em@abv.bg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+359885912788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6.7.1981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Martin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