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Gilles Heinisch,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14.03.2026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