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Andrii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Holod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+351929444174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07/08/1996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306448211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andriygolod7@gmail.com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1500-337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Andrii Holod</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