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Siecio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siecias@tlen.pl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+48601595285 ,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Zosia siecio</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17.03.2015</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Maya szadkowska</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20.11.2014</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Zuzua jurek</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15.05.2014</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Helena hibner</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21.02.2014</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20.03.2026</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