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Iker</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Rodriguez Garcia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26/2/2000</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Terrassa,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+34652403562</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pichisclis@gmail.com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7/3/2026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Iker Rodriguez Garcia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