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+393468392106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+393468392106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massimiliano.bertoni96@gmail.com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massimiliano.bertoni96@gmail.com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BRTMSM96T10L781Q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BRTMSM96T10L781Q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10/12/1996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10/12/1996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Massimiliano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Bertoni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Massimiliano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Bertoni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Leone Gaetano Patuzzi, 3, Verona, VR, Italia Verona, VR, Italia 11.01.2025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Leone Gaetano Patuzzi, 3, Verona, VR, Italia Verona, VR, Italia 11.01.2025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