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Siecio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siecias@tlen.pl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+4860595285 ,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siecio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Helrna hubner</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12.11.2015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Zuzia jurek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Maja szadkowwka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01.02.2015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