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Минчо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27.8.1964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+3590887628682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Nenov.Mincho@villeroy-boch.com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Венцислав Ненов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Михаела Ненова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14.3.2013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Марина Мъгэва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