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Христов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2.5.2000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+359898453168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gogo.hristov2000@gmail.com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