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Аксения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+359882943484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aksiatanasova@gmail.com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17.4.1985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