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Francesco      Turco</w:t>
      </w:r>
      <w:bookmarkStart w:name="_Hlk155268537" w:id="0"/>
      <w:bookmarkEnd w:id="0"/>
    </w:p>
    <w:p w:rsidR="00335FF5" w:rsidRDefault="00000000" w14:paraId="4C3C40DD" w14:textId="77777777">
      <w:pPr>
        <w:pStyle w:val="wStandard"/>
      </w:pPr>
      <w:r>
        <w:t xml:space="preserve">Nato il 09/09/1985   </w:t>
      </w:r>
      <w:r>
        <w:rPr>
          <w:sz w:val="24"/>
        </w:rPr>
        <w:t>numero di telefono</w:t>
      </w:r>
      <w:r>
        <w:t xml:space="preserve">     +393493831920</w:t>
      </w:r>
    </w:p>
    <w:p w:rsidR="00335FF5" w:rsidRDefault="00000000" w14:paraId="3E9130B5" w14:textId="77777777">
      <w:pPr>
        <w:pStyle w:val="wStandard"/>
      </w:pPr>
      <w:r>
        <w:t xml:space="preserve">e-mail francesco.turco1985@gmail.com      </w:t>
      </w:r>
      <w:r>
        <w:rPr>
          <w:sz w:val="24"/>
        </w:rPr>
        <w:t>e residente in</w:t>
      </w:r>
      <w:r>
        <w:t xml:space="preserve"> Via Sicilia, 7, Aprilia, LT, Italia  </w:t>
      </w:r>
    </w:p>
    <w:p w:rsidR="00335FF5" w:rsidRDefault="00000000" w14:paraId="63066219" w14:textId="77777777">
      <w:pPr>
        <w:pStyle w:val="wStandard"/>
      </w:pPr>
      <w:r>
        <w:t>,Codice Fiscale:    TRCFNC85P09F839D</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Manuel  , Nato il 31/08/2022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TRCMNL22M31A341O</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Francesco      Turco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