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Marc</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Montero López</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47994228J</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7/8/2000</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08032</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+34674448807</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marcmolo2000@gmail.com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4/3/2026</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Marc Montero López</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