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katrina8827@gmail.com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+48697370701 ,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Krawczyk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Mikołaj Krawczyk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20.08.2017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Aleksander Krawczyk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13.11.2013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