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Cristian</w:t>
      </w:r>
      <w:r>
        <w:rPr>
          <w:u w:val="single"/>
        </w:rPr>
        <w:t xml:space="preserve"> </w:t>
      </w:r>
      <w:r w:rsidRPr="009E5F62">
        <w:rPr>
          <w:u w:val="single"/>
        </w:rPr>
        <w:t>Meleiro Sanjuan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36176906E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Xose Meleiro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08/11/2021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Cristian Meleiro Sanjuan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