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Brent Houghton</w:t>
      </w:r>
    </w:p>
    <w:p w:rsidRPr="002378D9" w:rsidR="00636F2B" w:rsidP="00636F2B" w:rsidRDefault="00425696" w14:paraId="09AFCD47" w14:textId="72B37017">
      <w:r w:rsidRPr="002378D9">
        <w:t xml:space="preserve">Address: </w:t>
      </w:r>
      <w:r w:rsidRPr="002378D9" w:rsidR="00636F2B">
        <w:t>10 Gordon St Brunswick West VIC, Australia 3055</w:t>
      </w:r>
    </w:p>
    <w:p w:rsidRPr="002378D9" w:rsidR="00636F2B" w:rsidP="00636F2B" w:rsidRDefault="00425696" w14:paraId="11D17EA6" w14:textId="551720AB">
      <w:r w:rsidRPr="002378D9">
        <w:t xml:space="preserve">Phone: </w:t>
      </w:r>
      <w:r w:rsidRPr="002378D9" w:rsidR="00636F2B">
        <w:t>+610413301120</w:t>
      </w:r>
    </w:p>
    <w:p w:rsidRPr="002378D9" w:rsidR="00636F2B" w:rsidP="00636F2B" w:rsidRDefault="00425696" w14:paraId="263A7D34" w14:textId="284D449B">
      <w:r w:rsidRPr="002378D9">
        <w:t xml:space="preserve">Email: </w:t>
      </w:r>
      <w:r w:rsidRPr="002378D9" w:rsidR="00636F2B">
        <w:t>brenthoughton@gmail.com</w:t>
      </w:r>
    </w:p>
    <w:p w:rsidRPr="002378D9" w:rsidR="00636F2B" w:rsidP="00636F2B" w:rsidRDefault="00425696" w14:paraId="22E4FE1E" w14:textId="10F05D33">
      <w:r w:rsidRPr="002378D9">
        <w:t xml:space="preserve">Date of birth: </w:t>
      </w:r>
      <w:r w:rsidRPr="002378D9" w:rsidR="00636F2B">
        <w:t>8/05/1981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Brent Houghton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William Houghton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