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Zoe Renwick</w:t>
      </w:r>
    </w:p>
    <w:p w:rsidRPr="006C72AA" w:rsidR="00636F2B" w:rsidP="00636F2B" w:rsidRDefault="00425696" w14:paraId="09AFCD47" w14:textId="72B37017">
      <w:r w:rsidRPr="006C72AA">
        <w:t xml:space="preserve">Address: </w:t>
      </w:r>
      <w:r w:rsidRPr="006C72AA" w:rsidR="00636F2B">
        <w:t>5 Henry Street, Oakleigh VIC, Australia Oakleigh  3166</w:t>
      </w:r>
    </w:p>
    <w:p w:rsidRPr="006C72AA" w:rsidR="00636F2B" w:rsidP="00636F2B" w:rsidRDefault="00425696" w14:paraId="11D17EA6" w14:textId="551720AB">
      <w:r w:rsidRPr="006C72AA">
        <w:t xml:space="preserve">Phone: </w:t>
      </w:r>
      <w:r w:rsidRPr="006C72AA" w:rsidR="00636F2B">
        <w:t>+610435209774</w:t>
      </w:r>
    </w:p>
    <w:p w:rsidRPr="006C72AA" w:rsidR="00636F2B" w:rsidP="00636F2B" w:rsidRDefault="00425696" w14:paraId="263A7D34" w14:textId="284D449B">
      <w:r w:rsidRPr="006C72AA">
        <w:t xml:space="preserve">Email: </w:t>
      </w:r>
      <w:r w:rsidRPr="006C72AA" w:rsidR="00636F2B">
        <w:t>zrenwick38@gmail.com</w:t>
      </w:r>
    </w:p>
    <w:p w:rsidRPr="006C72AA" w:rsidR="00636F2B" w:rsidP="00636F2B" w:rsidRDefault="00425696" w14:paraId="22E4FE1E" w14:textId="10F05D33">
      <w:r w:rsidRPr="006C72AA">
        <w:t xml:space="preserve">Date of birth: </w:t>
      </w:r>
      <w:r w:rsidRPr="006C72AA" w:rsidR="00636F2B">
        <w:t>1/10/2005</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Zoe Renwick</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3/03/2026</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