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Nick</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Vercruysse</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1745</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7/8/1983</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Neerveldstraat 221a, Opwijk, Belgium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+32499567963</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nick.vercruysse@gmail.com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14/3/2026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14/3/2026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Nick Vercruysse</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