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Slavov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hr.slavov@vodstroy.bg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+359888462665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23.6.1980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Atanas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Nia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22.7.2018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